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978E" w14:textId="71211C99" w:rsidR="006C1DF8" w:rsidRPr="00B46FD8" w:rsidRDefault="00AE7B8C"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be-BY" w:eastAsia="x-none"/>
        </w:rPr>
      </w:pPr>
      <w:r w:rsidRPr="00B46FD8">
        <w:rPr>
          <w:rFonts w:ascii="Times New Roman" w:hAnsi="Times New Roman" w:cs="Times New Roman"/>
          <w:b/>
          <w:bCs/>
          <w:sz w:val="26"/>
          <w:szCs w:val="26"/>
          <w:lang w:val="be-BY" w:eastAsia="x-none"/>
        </w:rPr>
        <w:t>ІНСТРУКЦЫІ АБ ПРАВАХ І АБАВЯЗКАХ</w:t>
      </w:r>
    </w:p>
    <w:p w14:paraId="0673FA42" w14:textId="77777777" w:rsidR="006C1DF8" w:rsidRPr="00B46FD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be-BY" w:eastAsia="x-none"/>
        </w:rPr>
      </w:pPr>
    </w:p>
    <w:p w14:paraId="2A545706" w14:textId="2B920728" w:rsidR="006C1DF8" w:rsidRPr="00B46FD8" w:rsidRDefault="00AE7B8C"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Times New Roman" w:eastAsia="Times New Roman" w:hAnsi="Times New Roman" w:cs="Times New Roman"/>
          <w:b/>
          <w:bCs/>
          <w:sz w:val="20"/>
          <w:szCs w:val="20"/>
          <w:lang w:val="be-BY" w:eastAsia="x-none"/>
        </w:rPr>
      </w:pPr>
      <w:r w:rsidRPr="00B46FD8">
        <w:rPr>
          <w:rFonts w:ascii="Times New Roman" w:hAnsi="Times New Roman" w:cs="Times New Roman"/>
          <w:b/>
          <w:bCs/>
          <w:sz w:val="20"/>
          <w:szCs w:val="20"/>
          <w:lang w:val="be-BY" w:eastAsia="x-none"/>
        </w:rPr>
        <w:t>Абвінавачаны мае правы і абавязкі, пералічаныя ніжэй</w:t>
      </w:r>
      <w:r w:rsidR="006C1DF8" w:rsidRPr="00B46FD8">
        <w:rPr>
          <w:rFonts w:ascii="Times New Roman" w:eastAsia="Times New Roman" w:hAnsi="Times New Roman" w:cs="Times New Roman"/>
          <w:b/>
          <w:bCs/>
          <w:sz w:val="20"/>
          <w:szCs w:val="20"/>
          <w:lang w:val="be-BY" w:eastAsia="x-none"/>
        </w:rPr>
        <w:t>:</w:t>
      </w:r>
    </w:p>
    <w:p w14:paraId="009B38A1" w14:textId="69DE28BB" w:rsidR="006C1DF8" w:rsidRPr="00B46FD8" w:rsidRDefault="00AE7B8C" w:rsidP="00AB4615">
      <w:pPr>
        <w:numPr>
          <w:ilvl w:val="0"/>
          <w:numId w:val="1"/>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sz w:val="20"/>
          <w:szCs w:val="20"/>
          <w:lang w:val="be-BY" w:eastAsia="x-none"/>
        </w:rPr>
        <w:t>Права даваць тлумачэнні, адмаўляцца ад тлумачэнняў або адмаўляцца адказваць на асобныя пытанні без тлумачэння прычын адмовы (арт.</w:t>
      </w:r>
      <w:r w:rsidR="006C1DF8" w:rsidRPr="00B46FD8">
        <w:rPr>
          <w:rFonts w:ascii="Times New Roman" w:eastAsia="Times New Roman" w:hAnsi="Times New Roman" w:cs="Times New Roman"/>
          <w:sz w:val="20"/>
          <w:szCs w:val="20"/>
          <w:lang w:val="be-BY" w:eastAsia="x-none"/>
        </w:rPr>
        <w:t>175 § 1)</w:t>
      </w:r>
      <w:r w:rsidR="006C1DF8" w:rsidRPr="00B46FD8">
        <w:rPr>
          <w:rFonts w:ascii="Times New Roman" w:hAnsi="Times New Roman" w:cs="Times New Roman"/>
          <w:position w:val="5"/>
          <w:sz w:val="16"/>
          <w:szCs w:val="16"/>
          <w:lang w:val="be-BY" w:eastAsia="x-none"/>
        </w:rPr>
        <w:t>2)</w:t>
      </w:r>
      <w:r w:rsidR="006C1DF8" w:rsidRPr="00B46FD8">
        <w:rPr>
          <w:rFonts w:ascii="Times New Roman" w:hAnsi="Times New Roman" w:cs="Times New Roman"/>
          <w:sz w:val="20"/>
          <w:szCs w:val="20"/>
          <w:lang w:val="be-BY" w:eastAsia="x-none"/>
        </w:rPr>
        <w:t xml:space="preserve">. </w:t>
      </w:r>
    </w:p>
    <w:p w14:paraId="5DD83BD9" w14:textId="1EE6A8DA" w:rsidR="006C1DF8" w:rsidRPr="00B46FD8" w:rsidRDefault="00AE7B8C"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color w:val="000000"/>
          <w:sz w:val="20"/>
          <w:szCs w:val="20"/>
          <w:lang w:val="be-BY" w:eastAsia="x-none"/>
        </w:rPr>
        <w:t>Права карыстацца дапамогай адваката па сваім выбары. Калі абвінавачаны дакажа, што ён не можа пакрыць выдаткі на найм уласнага адваката без шкоды для сябе і сваёй сям'і, суд можа прызначыць дзяржаўнага абаронцу. Хадайніцтва аб прызначэнні дзяржаўнага абаронцы павінна быць пададзена ў суд на працягу сямі дзён з даты ўручэння абвінаваўчага заключэння. Да хадайніцтва павінны быць прыкладзены доказы таго, што абвінавачаны не можа пакрыць выдаткі на абарону без шкоды для сябе і сваёй сям'і. Калі падача хадайніцтва са спазненнем запатрабуе змены даты слухання або слухання аб умоўным спыненні справы або хадайніцтва аб вынясенні прысуду без слухання, хадайніцтва будзе разгледжана неадкладна пасля слухання або слухання. Гэта таксама датычыцца выпадкаў, калі хадайніцтва было пададзена своечасова, але не адпавядае фармальным патрабаванням, або калі не было прадстаўлена доказаў таго, што абвінавачаны не можа пакрыць выдаткі на абарону без шкоды для сябе і сваёй сям'і. Пасля першага слухання або запланаваных слуханняў хадайніцтва аб прызначэнні дзяржаўнага абаронцы павінна быць пададзена ў суд у тэрмін, які не патрабуе пераносу наступнага слухання або разгляду справы. У залежнасці ад вынікаў судовага разбору з абвінавачанага могуць быць спагнаныя выдаткі на прызначэнне дзяржаўнага абаронцы. Абвінавачаны, які не мае адваката па сваім выбары, павінен мець дзяржаўнага абаронцу, калі: яму не споўнілася 18 гадоў; ён глухі, нямы або сляпы; ёсць разумныя сумневы адносна таго, ці была яго здольнасць усведамляць значэнне дзеяння або кантраляваць свае паводзіны парушаная або істотна парушаная ў момант дзеяння; і ёсць разумныя сумневы адносна таго, ці дазваляе яму псіхічнае здароўе ўдзельнічаць у працэсе або самастойна і разумна абараняцца. Абвінавачаны таксама павінен мець адваката, калі суд палічыць гэта неабходным з-за іншых абставін, якія перашкаджаюць абароне, і ў працэсе разгляду справы ў раённым судзе, калі ён абвінавачваецца ў злачынстве (арт. 6, арт. 78 § 1, арт. 79 § 1 і § 2, арт. 80 першае сказа, арт. 81 § 1, арт. 338 § 1a, арт. 338b</w:t>
      </w:r>
      <w:r w:rsidR="006C1DF8" w:rsidRPr="00B46FD8">
        <w:rPr>
          <w:rFonts w:ascii="Times New Roman" w:hAnsi="Times New Roman" w:cs="Times New Roman"/>
          <w:sz w:val="20"/>
          <w:szCs w:val="20"/>
          <w:lang w:val="be-BY" w:eastAsia="x-none"/>
        </w:rPr>
        <w:t>)</w:t>
      </w:r>
      <w:r w:rsidR="006C1DF8" w:rsidRPr="00B46FD8">
        <w:rPr>
          <w:rFonts w:ascii="Times New Roman" w:hAnsi="Times New Roman" w:cs="Times New Roman"/>
          <w:color w:val="000000"/>
          <w:sz w:val="20"/>
          <w:szCs w:val="20"/>
          <w:lang w:val="be-BY" w:eastAsia="x-none"/>
        </w:rPr>
        <w:t xml:space="preserve">. </w:t>
      </w:r>
    </w:p>
    <w:p w14:paraId="4B7CD8FC" w14:textId="5DE4C75F" w:rsidR="006C1DF8" w:rsidRPr="00B46FD8" w:rsidRDefault="00AE7B8C"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eastAsia="Times New Roman" w:hAnsi="Times New Roman" w:cs="Times New Roman"/>
          <w:sz w:val="20"/>
          <w:szCs w:val="20"/>
          <w:lang w:val="be-BY" w:eastAsia="x-none"/>
        </w:rPr>
      </w:pPr>
      <w:r w:rsidRPr="00B46FD8">
        <w:rPr>
          <w:rFonts w:ascii="Times New Roman" w:hAnsi="Times New Roman" w:cs="Times New Roman"/>
          <w:sz w:val="20"/>
          <w:szCs w:val="20"/>
          <w:lang w:val="be-BY" w:eastAsia="x-none"/>
        </w:rPr>
        <w:t>Права падаць пісьмовы адказ на абвінаваўчы акт. Абвінавачаны мае гэта права на працягу 7 дзён з моманту ўручэння абвінаваўчага акта (арт. 338 § 2</w:t>
      </w:r>
      <w:r w:rsidR="006C1DF8" w:rsidRPr="00B46FD8">
        <w:rPr>
          <w:rFonts w:ascii="Times New Roman" w:eastAsia="Times New Roman" w:hAnsi="Times New Roman" w:cs="Times New Roman"/>
          <w:sz w:val="20"/>
          <w:szCs w:val="20"/>
          <w:lang w:val="be-BY" w:eastAsia="x-none"/>
        </w:rPr>
        <w:t>).</w:t>
      </w:r>
    </w:p>
    <w:p w14:paraId="0F9D2918" w14:textId="77621B89" w:rsidR="006C1DF8" w:rsidRPr="00B46FD8" w:rsidRDefault="00AE7B8C"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color w:val="000000"/>
          <w:sz w:val="20"/>
          <w:szCs w:val="20"/>
          <w:lang w:val="be-BY" w:eastAsia="x-none"/>
        </w:rPr>
        <w:t>Права ўдзельнічаць у слуханнях па справе аб умоўным спыненні справы, калі абвінавачаны не быў абавязаны ўдзельнічаць у гэтых слуханнях (арт. 341 § 1</w:t>
      </w:r>
      <w:r w:rsidR="006C1DF8" w:rsidRPr="00B46FD8">
        <w:rPr>
          <w:rFonts w:ascii="Times New Roman" w:eastAsia="Times New Roman" w:hAnsi="Times New Roman" w:cs="Times New Roman"/>
          <w:color w:val="000000"/>
          <w:sz w:val="20"/>
          <w:szCs w:val="20"/>
          <w:lang w:val="be-BY" w:eastAsia="x-none"/>
        </w:rPr>
        <w:t>).</w:t>
      </w:r>
    </w:p>
    <w:p w14:paraId="1B3E46A0" w14:textId="488AA882" w:rsidR="006C1DF8" w:rsidRPr="00B46FD8" w:rsidRDefault="00AE7B8C"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color w:val="000000"/>
          <w:sz w:val="20"/>
          <w:szCs w:val="20"/>
          <w:lang w:val="be-BY" w:eastAsia="x-none"/>
        </w:rPr>
        <w:t>Права падаць хадайніцтва аб прыцягненні абвінавачанага да ўдзелу ў слуханні, калі ён пазбаўлены волі і яго прысутнасць на слуханні не абавязковая. Хадайніцтва павінна быць пададзена на працягу 7 дзён з даты ўручэння паведамлення (арт. 353 §</w:t>
      </w:r>
      <w:r w:rsidR="006C1DF8" w:rsidRPr="00B46FD8">
        <w:rPr>
          <w:rFonts w:ascii="Times New Roman" w:eastAsia="Times New Roman" w:hAnsi="Times New Roman" w:cs="Times New Roman"/>
          <w:color w:val="000000"/>
          <w:sz w:val="20"/>
          <w:szCs w:val="20"/>
          <w:lang w:val="be-BY" w:eastAsia="x-none"/>
        </w:rPr>
        <w:t>3).</w:t>
      </w:r>
    </w:p>
    <w:p w14:paraId="3F2837D9" w14:textId="46503197" w:rsidR="006C1DF8" w:rsidRPr="00B46FD8" w:rsidRDefault="00AE7B8C"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color w:val="000000"/>
          <w:sz w:val="20"/>
          <w:szCs w:val="20"/>
          <w:lang w:val="be-BY" w:eastAsia="x-none"/>
        </w:rPr>
        <w:t>Права падаваць хадайніцтва аб асуджэнні і прызначэнні канкрэтнага пакарання або меры пакарання, канфіскацыі або кампенсацыі без правядзення слуханняў па ўстанаўленні доказаў або вынясення канкрэтнага рашэння аб аплаце судовых выдаткаў. Абвінавачаны можа скарыстацца гэтым правам да паведамлення аб даце слуханняў (артыкул 338а</w:t>
      </w:r>
      <w:r w:rsidR="006C1DF8" w:rsidRPr="00B46FD8">
        <w:rPr>
          <w:rFonts w:ascii="Times New Roman" w:eastAsia="Times New Roman" w:hAnsi="Times New Roman" w:cs="Times New Roman"/>
          <w:color w:val="000000"/>
          <w:sz w:val="20"/>
          <w:szCs w:val="20"/>
          <w:lang w:val="be-BY" w:eastAsia="x-none"/>
        </w:rPr>
        <w:t>).</w:t>
      </w:r>
    </w:p>
    <w:p w14:paraId="04F363DD" w14:textId="348B2DEB" w:rsidR="006C1DF8" w:rsidRPr="00B46FD8" w:rsidRDefault="00AE7B8C"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sz w:val="20"/>
          <w:szCs w:val="20"/>
          <w:lang w:val="be-BY" w:eastAsia="x-none"/>
        </w:rPr>
        <w:t>Права ўдзельнічаць у судовым пасяджэнні, калі суд не лічыць прысутнасць абвінавачанага абавязковай. У справах аб цяжкіх злачынствах прысутнасць абвінавачанага абавязковая падчас прад'яўлення абвінавачання, адказу на абвінаваўчы акт, калі ён пададзены, раз'яснення правоў і абавязкаў, а таксама падчас пытання аб тым, ці прызнае абвінавачаны віну ў інкрымінаваным злачынстве. Старшынюючы суддзя можа выдаць распараджэнне аб недапушчэнні абвінавачанага да выхаду з суда да заканчэння судовага пасяджэння (артыкул 374). Судовае пасяджэнне не праводзіцца, калі абвінавачаны не з'яўляецца і няма доказаў таго, што ён быў апавешчаны, а таксама калі ёсць разумныя падставы меркаваць, што неявка была выклікана стыхійнымі бедствамі або іншымі выключнымі абставінамі. Судовае пасяджэнне таксама не можа быць праведзена, калі абвінавачаны належным чынам апраўдае сваю адсутнасць і просіць, каб разгляд справы не праводзіўся ў яго адсутнасць (артыкул 117 § 2). Для абгрунтавання адсутнасці абвінавачанага, прысутнасць якога была абавязковай або які запытаў допуск да ўдзелу ў працэсе з-за хваробы, патрабуецца прад'яўленне даведкі, якая пацвярджае немагчымасць з'явіцца па выкліку органа, які вядзе працэс, выдадзенай прызначаным судом лекарам (арт. 117 § 2a). У выпадку неабгрунтаванай адсутнасці абвінавачанага, прысутнасць якога абавязковая, будзе вынесена пастанова аб яго неадкладным арышце і дастаўцы (арт. 382). Адсутнасць абвінавачанага, які быў належным чынам апавешчаны аб працэсуальным дзеянні, незалежна ад прычыны, не перашкаджае правядзенню гэтага дзеяння, калі з'явіўся яго абаронца, пры ўмове, што ўдзел абвінавачанага не быў абавязковым (арт. 117 § 3a</w:t>
      </w:r>
      <w:r w:rsidR="006C1DF8" w:rsidRPr="00B46FD8">
        <w:rPr>
          <w:rFonts w:ascii="Times New Roman" w:eastAsia="Times New Roman" w:hAnsi="Times New Roman" w:cs="Times New Roman"/>
          <w:color w:val="000000"/>
          <w:sz w:val="20"/>
          <w:szCs w:val="20"/>
          <w:lang w:val="be-BY" w:eastAsia="x-none"/>
        </w:rPr>
        <w:t>)</w:t>
      </w:r>
      <w:r w:rsidR="006C1DF8" w:rsidRPr="00B46FD8">
        <w:rPr>
          <w:rFonts w:ascii="Times New Roman" w:hAnsi="Times New Roman" w:cs="Times New Roman"/>
          <w:color w:val="000000"/>
          <w:sz w:val="20"/>
          <w:szCs w:val="20"/>
          <w:lang w:val="be-BY" w:eastAsia="x-none"/>
        </w:rPr>
        <w:t>.</w:t>
      </w:r>
    </w:p>
    <w:p w14:paraId="084ADB92" w14:textId="670FB755" w:rsidR="006C1DF8" w:rsidRPr="00B46FD8" w:rsidRDefault="00AE7B8C"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color w:val="000000"/>
          <w:sz w:val="20"/>
          <w:szCs w:val="20"/>
          <w:lang w:val="be-BY" w:eastAsia="x-none"/>
        </w:rPr>
        <w:t>Права карыстацца бясплатнай дапамогай перакладчыка, калі ён/яна недастаткова валодае польскай мовай (арт. 72</w:t>
      </w:r>
      <w:r w:rsidR="006C1DF8" w:rsidRPr="00B46FD8">
        <w:rPr>
          <w:rFonts w:ascii="Times New Roman" w:eastAsia="Times New Roman" w:hAnsi="Times New Roman" w:cs="Times New Roman"/>
          <w:color w:val="000000"/>
          <w:sz w:val="20"/>
          <w:szCs w:val="20"/>
          <w:lang w:val="be-BY" w:eastAsia="x-none"/>
        </w:rPr>
        <w:t>§ 1).</w:t>
      </w:r>
    </w:p>
    <w:p w14:paraId="3AD6320D" w14:textId="0E32C9CC" w:rsidR="006C1DF8" w:rsidRPr="00B46FD8" w:rsidRDefault="00AE7B8C"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be-BY" w:eastAsia="x-none"/>
        </w:rPr>
      </w:pPr>
      <w:r w:rsidRPr="00B46FD8">
        <w:rPr>
          <w:rFonts w:ascii="Times New Roman" w:hAnsi="Times New Roman" w:cs="Times New Roman"/>
          <w:color w:val="000000"/>
          <w:sz w:val="20"/>
          <w:szCs w:val="20"/>
          <w:lang w:val="be-BY" w:eastAsia="x-none"/>
        </w:rPr>
        <w:t xml:space="preserve">Права падаваць хадайніцтва аб асуджэнні і прызначэнні канкрэтнага пакарання або меры пакарання, канфіскацыі або кампенсацыі без правядзення слуханняў па вынясенні доказаў, або аб прыняцці канкрэтнага рашэння аб выплаце судовых выдаткаў. Суд можа задаволіць хадайніцтва аб асуджэнні, калі абставіны правапарушэння і віна зразумелыя, і мэты разгляду справы будуць дасягнуты, нягледзячы на ​​адсутнасць поўнага разгляду справы. Задавальненне хадайніцтва магчыма толькі ў тым выпадку, калі </w:t>
      </w:r>
      <w:r w:rsidRPr="00B46FD8">
        <w:rPr>
          <w:rFonts w:ascii="Times New Roman" w:hAnsi="Times New Roman" w:cs="Times New Roman"/>
          <w:color w:val="000000"/>
          <w:sz w:val="20"/>
          <w:szCs w:val="20"/>
          <w:lang w:val="be-BY" w:eastAsia="x-none"/>
        </w:rPr>
        <w:lastRenderedPageBreak/>
        <w:t>пракурор не пярэчыць, і пацярпелы бок быў належным чынам апавешчаны аб даце разгляду справы і праінфармаваны аб праве абвінавачанага падаць такое хадайніцтва. Суд можа абумовіць задавальненне хадайніцтва абвінавачанага ўнясеннем любых паправак, якія ён вызначае. У справах, звязаных з незвычайнымі злачынствамі, змякчэнне пакарання можа быць прадастаўлена толькі ў тым выпадку, калі хадайніцтва было пададзена да таго, як абвінавачанаму быў апавешчаны аб даце разгляду справы. Хадайніцтва аб вынясенні абвінаваўчага прысуду і прызначэнні канкрэтнага пакарання або меры пакарання, аб прызначэнні канфіскацыі або кампенсацыйнай меры без правядзення слуханняў па ўстанаўленні доказаў або аб вынясенні канкрэтнага рашэння адносна судовых выдаткаў можа быць пададзена да заканчэння першага слухання па ўсіх абвінавачаных (арт. 387 § 1, першы і другi сказ, § 2 і</w:t>
      </w:r>
      <w:r w:rsidR="00B46FD8">
        <w:rPr>
          <w:rFonts w:ascii="Times New Roman" w:hAnsi="Times New Roman" w:cs="Times New Roman"/>
          <w:color w:val="000000"/>
          <w:sz w:val="20"/>
          <w:szCs w:val="20"/>
          <w:lang w:eastAsia="x-none"/>
        </w:rPr>
        <w:t> </w:t>
      </w:r>
      <w:r w:rsidRPr="00B46FD8">
        <w:rPr>
          <w:rFonts w:ascii="Times New Roman" w:hAnsi="Times New Roman" w:cs="Times New Roman"/>
          <w:color w:val="000000"/>
          <w:sz w:val="20"/>
          <w:szCs w:val="20"/>
          <w:lang w:val="be-BY" w:eastAsia="x-none"/>
        </w:rPr>
        <w:t>§</w:t>
      </w:r>
      <w:r w:rsidR="00B46FD8">
        <w:rPr>
          <w:rFonts w:ascii="Times New Roman" w:hAnsi="Times New Roman" w:cs="Times New Roman"/>
          <w:color w:val="000000"/>
          <w:sz w:val="20"/>
          <w:szCs w:val="20"/>
          <w:lang w:eastAsia="x-none"/>
        </w:rPr>
        <w:t> </w:t>
      </w:r>
      <w:r w:rsidRPr="00B46FD8">
        <w:rPr>
          <w:rFonts w:ascii="Times New Roman" w:hAnsi="Times New Roman" w:cs="Times New Roman"/>
          <w:color w:val="000000"/>
          <w:sz w:val="20"/>
          <w:szCs w:val="20"/>
          <w:lang w:val="be-BY" w:eastAsia="x-none"/>
        </w:rPr>
        <w:t>3</w:t>
      </w:r>
      <w:r w:rsidR="006C1DF8" w:rsidRPr="00B46FD8">
        <w:rPr>
          <w:rFonts w:ascii="Times New Roman" w:eastAsia="Times New Roman" w:hAnsi="Times New Roman" w:cs="Times New Roman"/>
          <w:color w:val="000000"/>
          <w:sz w:val="20"/>
          <w:szCs w:val="20"/>
          <w:lang w:val="be-BY" w:eastAsia="x-none"/>
        </w:rPr>
        <w:t>).</w:t>
      </w:r>
    </w:p>
    <w:p w14:paraId="464AF789" w14:textId="185E98E5" w:rsidR="006C1DF8" w:rsidRPr="00B46FD8" w:rsidRDefault="00AE7B8C"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Права падаць хадайніцтва аб перадачы справы на разгляд у парадку медыяцыі з мэтай прымірэння з пацярпелым бокам (артыкул 23а). Удзел у працэсе медыяцыі з'яўляецца добраахвотным. Станоўчыя вынікі праведзенай медыяцыі ўлічваюцца судом пры прызначэнні пакарання (артыкул 53 § 3 Закона ад 6 чэрвеня 1997 г. - Крымінальны кодэкс, Зборнік законаў 2018 г., паз. 1600, з папраўкамі</w:t>
      </w:r>
      <w:r w:rsidR="006C1DF8" w:rsidRPr="00B46FD8">
        <w:rPr>
          <w:rFonts w:ascii="Times New Roman" w:eastAsia="Times New Roman" w:hAnsi="Times New Roman" w:cs="Times New Roman"/>
          <w:color w:val="000000"/>
          <w:sz w:val="20"/>
          <w:szCs w:val="20"/>
          <w:lang w:val="be-BY" w:eastAsia="x-none"/>
        </w:rPr>
        <w:t>).</w:t>
      </w:r>
    </w:p>
    <w:p w14:paraId="4507224E" w14:textId="0EBABD89" w:rsidR="006C1DF8" w:rsidRPr="00B46FD8" w:rsidRDefault="00AE7B8C"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Права доступу да матэрыялаў справы і рабіць копіі (арт. 156</w:t>
      </w:r>
      <w:r w:rsidR="006C1DF8" w:rsidRPr="00B46FD8">
        <w:rPr>
          <w:rFonts w:ascii="Times New Roman" w:eastAsia="Times New Roman" w:hAnsi="Times New Roman" w:cs="Times New Roman"/>
          <w:color w:val="000000"/>
          <w:sz w:val="20"/>
          <w:szCs w:val="20"/>
          <w:lang w:val="be-BY" w:eastAsia="x-none"/>
        </w:rPr>
        <w:t xml:space="preserve"> § 1-3).</w:t>
      </w:r>
    </w:p>
    <w:p w14:paraId="3DBBD484" w14:textId="02611807" w:rsidR="006C1DF8" w:rsidRPr="00B46FD8" w:rsidRDefault="00AE7B8C" w:rsidP="00AB4615">
      <w:pPr>
        <w:numPr>
          <w:ilvl w:val="0"/>
          <w:numId w:val="3"/>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be-BY" w:eastAsia="x-none"/>
        </w:rPr>
      </w:pPr>
      <w:r w:rsidRPr="00B46FD8">
        <w:rPr>
          <w:rFonts w:ascii="Times New Roman" w:hAnsi="Times New Roman" w:cs="Times New Roman"/>
          <w:sz w:val="20"/>
          <w:szCs w:val="20"/>
          <w:lang w:val="be-BY" w:eastAsia="x-none"/>
        </w:rPr>
        <w:t>Права падаць хадайніцтва на працягу 7 дзён з даты абвяшчэння прысуду аб падрыхтоўцы і ўручэнні пісьмовага абгрунтавання прысуду. Падрыхтоўка абгрунтавання па службовай пасадзе не вызваляе асобу ад падачы хадайніцтва аб уручэнні абгрунтавання. Хадайніцтва павінна быць пададзена ў пісьмовай форме. У хадайніцтве павінна быць пазначана, ці тычыцца яно ўсяго прысуду, толькі асобных інкрымінаваных дзеянняў, ці толькі рашэння аб пакаранні і іншых юрыдычных наступствах дзеяння. Для абвінавачанага, пазбаўленага волі, які не мае абаронцы і, нягледзячы на ​​падачу хадайніцтва аб прыцягненні яго на слуханне, на якім быў абвешчаны прысуд, не прысутнічаў пры абвяшчэнні прысуду, тэрмін падачы хадайніцтва аб падрыхтоўцы і ўручэнні пісьмовага абгрунтавання прысуду пачынаецца з даты ўручэння прысуду. Хадайніцтва, пададзенае неўпаўнаважанай асобай пасля заканчэння тэрміну або калі недахопы не выпраўлены ў тэрмін (арт. 422</w:t>
      </w:r>
      <w:r w:rsidR="006C1DF8" w:rsidRPr="00B46FD8">
        <w:rPr>
          <w:rFonts w:ascii="Times New Roman" w:eastAsia="Times New Roman" w:hAnsi="Times New Roman" w:cs="Times New Roman"/>
          <w:sz w:val="20"/>
          <w:szCs w:val="20"/>
          <w:lang w:val="be-BY" w:eastAsia="x-none"/>
        </w:rPr>
        <w:t>§ 1-3).</w:t>
      </w:r>
      <w:r w:rsidR="006C1DF8" w:rsidRPr="00B46FD8">
        <w:rPr>
          <w:rFonts w:ascii="Times New Roman" w:hAnsi="Times New Roman" w:cs="Times New Roman"/>
          <w:i/>
          <w:iCs/>
          <w:sz w:val="20"/>
          <w:szCs w:val="20"/>
          <w:lang w:val="be-BY" w:eastAsia="x-none"/>
        </w:rPr>
        <w:t xml:space="preserve"> </w:t>
      </w:r>
    </w:p>
    <w:p w14:paraId="1CE67A0F" w14:textId="054C74EA" w:rsidR="006C1DF8" w:rsidRPr="00B46FD8" w:rsidRDefault="00AE7B8C" w:rsidP="00AB4615">
      <w:pPr>
        <w:widowControl w:val="0"/>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be-BY" w:eastAsia="x-none"/>
        </w:rPr>
      </w:pPr>
      <w:r w:rsidRPr="00B46FD8">
        <w:rPr>
          <w:rFonts w:ascii="Times New Roman" w:hAnsi="Times New Roman" w:cs="Times New Roman"/>
          <w:b/>
          <w:bCs/>
          <w:color w:val="000000"/>
          <w:sz w:val="20"/>
          <w:szCs w:val="20"/>
          <w:lang w:val="be-BY" w:eastAsia="x-none"/>
        </w:rPr>
        <w:t>Крымінальны працэс можа весціся без удзелу абвінавачанага, прысутнасць якога абавязковая пры</w:t>
      </w:r>
      <w:r w:rsidR="006C1DF8" w:rsidRPr="00B46FD8">
        <w:rPr>
          <w:rFonts w:ascii="Times New Roman" w:eastAsia="Times New Roman" w:hAnsi="Times New Roman" w:cs="Times New Roman"/>
          <w:b/>
          <w:bCs/>
          <w:color w:val="000000"/>
          <w:sz w:val="20"/>
          <w:szCs w:val="20"/>
          <w:lang w:val="be-BY" w:eastAsia="x-none"/>
        </w:rPr>
        <w:t>:</w:t>
      </w:r>
    </w:p>
    <w:p w14:paraId="50E55E1A" w14:textId="2D3B8616" w:rsidR="006C1DF8" w:rsidRPr="00B46FD8" w:rsidRDefault="00AE7B8C"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не здольны ўдзельнічаць у слуханнях або пасяджэнні па сваёй віне; непрадстаўленне абвінавачаным тлумачэнняў не з'яўляецца перашкодай для разгляду справы; перад вынясеннем рашэння па гэтым пытанні суд вывучае паказанні лекара, які вызначыў стан такой недзеяздольнасці, або заслухоўвае лекара ў якасці эксперта. Стан, які выклікае немагчымасць абвінавачанага ўдзельнічаць у слуханнях, можа быць таксама вызначаны на падставе агляду, які не звязаны з парушэннем цялеснай цэласнасці, праведзенага з выкарыстаннем адпаведнай прылады (арт. 377</w:t>
      </w:r>
      <w:r w:rsidR="006C1DF8" w:rsidRPr="00B46FD8">
        <w:rPr>
          <w:rFonts w:ascii="Times New Roman" w:hAnsi="Times New Roman" w:cs="Times New Roman"/>
          <w:color w:val="000000"/>
          <w:sz w:val="20"/>
          <w:szCs w:val="20"/>
          <w:lang w:val="be-BY" w:eastAsia="x-none"/>
        </w:rPr>
        <w:t xml:space="preserve"> </w:t>
      </w:r>
      <w:r w:rsidR="006C1DF8" w:rsidRPr="00B46FD8">
        <w:rPr>
          <w:rFonts w:ascii="Times New Roman" w:eastAsia="Times New Roman" w:hAnsi="Times New Roman" w:cs="Times New Roman"/>
          <w:color w:val="000000"/>
          <w:sz w:val="20"/>
          <w:szCs w:val="20"/>
          <w:lang w:val="be-BY" w:eastAsia="x-none"/>
        </w:rPr>
        <w:t xml:space="preserve">§ 1 i § 2); </w:t>
      </w:r>
    </w:p>
    <w:p w14:paraId="0A57DE52" w14:textId="7AA58219" w:rsidR="006C1DF8" w:rsidRPr="00B46FD8" w:rsidRDefault="00AE7B8C"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 xml:space="preserve">будучы належным чынам апавешчаным пра дату слухання або пасяджэння, заяўляе, што не будзе ўдзельнічаць у слуханні або пасяджэнні, перашкаджае дастаўленню на слуханне або пасяджэнне, або будучы асабіста апавешчаным пра слуханне або пасяджэнне, не з'яўляецца на слуханне або пасяджэнне без уважлівай прычыны; аднак суд можа ў такім выпадку пастановіць аб арышце і прымусовым дастаўленні абвінавачанага (арт. 377 </w:t>
      </w:r>
      <w:r w:rsidR="006C1DF8" w:rsidRPr="00B46FD8">
        <w:rPr>
          <w:rFonts w:ascii="Times New Roman" w:eastAsia="Times New Roman" w:hAnsi="Times New Roman" w:cs="Times New Roman"/>
          <w:color w:val="000000"/>
          <w:sz w:val="20"/>
          <w:szCs w:val="20"/>
          <w:lang w:val="be-BY" w:eastAsia="x-none"/>
        </w:rPr>
        <w:t>§ 3);</w:t>
      </w:r>
    </w:p>
    <w:p w14:paraId="67F89F37" w14:textId="14DFBFA9" w:rsidR="006C1DF8" w:rsidRPr="00B46FD8" w:rsidRDefault="00DF1B92"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ён ужо даў тлумачэнні і пакінуў залу суда без дазволу старшыні суда, калі толькі суд не прызнаў яго прысутнасць абавязковай і не загадаў аб яго арышце і прымусовай яўцы (арт. 376 § 1, першы і другi сказы</w:t>
      </w:r>
      <w:r w:rsidR="006C1DF8" w:rsidRPr="00B46FD8">
        <w:rPr>
          <w:rFonts w:ascii="Times New Roman" w:eastAsia="Times New Roman" w:hAnsi="Times New Roman" w:cs="Times New Roman"/>
          <w:color w:val="000000"/>
          <w:sz w:val="20"/>
          <w:szCs w:val="20"/>
          <w:lang w:val="be-BY" w:eastAsia="x-none"/>
        </w:rPr>
        <w:t>);</w:t>
      </w:r>
    </w:p>
    <w:p w14:paraId="4801005C" w14:textId="1DF31D21" w:rsidR="006C1DF8" w:rsidRPr="00B46FD8" w:rsidRDefault="005920D3"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пасля апавяшчэння аб даце адкладзенага або перапыненага слухання справы ён не з'явіўся на гэтае слуханне без уважлівай прычыны, за выключэннем выпадкаў, калі суд палічыў яго прысутнасць абавязковай і загадаў аб яго арышце і прымусовай яўцы (арт. 376</w:t>
      </w:r>
      <w:r w:rsidR="006C1DF8" w:rsidRPr="00B46FD8">
        <w:rPr>
          <w:rFonts w:ascii="Times New Roman" w:eastAsia="Times New Roman" w:hAnsi="Times New Roman" w:cs="Times New Roman"/>
          <w:color w:val="000000"/>
          <w:sz w:val="20"/>
          <w:szCs w:val="20"/>
          <w:lang w:val="be-BY" w:eastAsia="x-none"/>
        </w:rPr>
        <w:t xml:space="preserve">§ 2). </w:t>
      </w:r>
    </w:p>
    <w:p w14:paraId="69779B2B" w14:textId="453BE846" w:rsidR="006C1DF8" w:rsidRPr="00B46FD8" w:rsidRDefault="005920D3"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color w:val="000000"/>
          <w:sz w:val="20"/>
          <w:szCs w:val="20"/>
          <w:lang w:val="be-BY" w:eastAsia="x-none"/>
        </w:rPr>
      </w:pPr>
      <w:r w:rsidRPr="00B46FD8">
        <w:rPr>
          <w:rFonts w:ascii="Times New Roman" w:hAnsi="Times New Roman" w:cs="Times New Roman"/>
          <w:sz w:val="20"/>
          <w:szCs w:val="20"/>
          <w:lang w:val="be-BY" w:eastAsia="x-none"/>
        </w:rPr>
        <w:t>Калі абвінавачаны, які апраўдаў сваю адсутнасць, не з'явіўся на перанесенае або перапыненае пасяджэнне, суд можа працягнуць пасяджэнне ў межах, якія непасрэдна не тычацца адсутнага абвінавачанага, пры ўмове, што гэта не абмяжоўвае яго права на абарону (артыкул 376</w:t>
      </w:r>
      <w:r w:rsidR="006C1DF8" w:rsidRPr="00B46FD8">
        <w:rPr>
          <w:rFonts w:ascii="Times New Roman" w:eastAsia="Times New Roman" w:hAnsi="Times New Roman" w:cs="Times New Roman"/>
          <w:sz w:val="20"/>
          <w:szCs w:val="20"/>
          <w:lang w:val="be-BY" w:eastAsia="x-none"/>
        </w:rPr>
        <w:t>§ 3).</w:t>
      </w:r>
    </w:p>
    <w:p w14:paraId="2C88A0FB" w14:textId="6607F16F" w:rsidR="006C1DF8" w:rsidRPr="00B46FD8" w:rsidRDefault="005920D3"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Абвінавачаны, які яшчэ не даў сваіх паказанняў у судзе, можа быць заслуханы прызначаным суддзёй або судом, у акрузе якога ён знаходзіцца, калі ён не з'явіўся з-за перашкод, якія занадта цяжка пераадолець; суд таксама можа палічыць дастатковым зачытванне паказанняў, дадзеных абвінавачаным раней. Абвінавачаны можа быць заслуханы ў рэжыме відэаканферэнцыі (арт. 377</w:t>
      </w:r>
      <w:r w:rsidR="006C1DF8" w:rsidRPr="00B46FD8">
        <w:rPr>
          <w:rFonts w:ascii="Times New Roman" w:eastAsia="Times New Roman" w:hAnsi="Times New Roman" w:cs="Times New Roman"/>
          <w:color w:val="000000"/>
          <w:sz w:val="20"/>
          <w:szCs w:val="20"/>
          <w:lang w:val="be-BY" w:eastAsia="x-none"/>
        </w:rPr>
        <w:t>§ 4).</w:t>
      </w:r>
    </w:p>
    <w:p w14:paraId="63B5B18B" w14:textId="047B968D" w:rsidR="006C1DF8" w:rsidRPr="00B46FD8" w:rsidRDefault="005920D3" w:rsidP="00AB4615">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color w:val="000000"/>
          <w:sz w:val="20"/>
          <w:szCs w:val="20"/>
          <w:lang w:val="be-BY" w:eastAsia="x-none"/>
        </w:rPr>
      </w:pPr>
      <w:r w:rsidRPr="00B46FD8">
        <w:rPr>
          <w:rFonts w:ascii="Times New Roman" w:hAnsi="Times New Roman" w:cs="Times New Roman"/>
          <w:b/>
          <w:bCs/>
          <w:color w:val="000000"/>
          <w:sz w:val="20"/>
          <w:szCs w:val="20"/>
          <w:lang w:val="be-BY" w:eastAsia="x-none"/>
        </w:rPr>
        <w:t>Абвінавачаны не абавязаны даказваць сваю невінаватасць або прадстаўляць доказы супраць сябе (артыкул 74 § 1). Аднак ён абавязаны падпарадкавацца</w:t>
      </w:r>
      <w:r w:rsidR="006C1DF8" w:rsidRPr="00B46FD8">
        <w:rPr>
          <w:rFonts w:ascii="Times New Roman" w:eastAsia="Times New Roman" w:hAnsi="Times New Roman" w:cs="Times New Roman"/>
          <w:b/>
          <w:bCs/>
          <w:color w:val="000000"/>
          <w:sz w:val="20"/>
          <w:szCs w:val="20"/>
          <w:lang w:val="be-BY" w:eastAsia="x-none"/>
        </w:rPr>
        <w:t>:</w:t>
      </w:r>
    </w:p>
    <w:p w14:paraId="4C691423" w14:textId="1743B6A5" w:rsidR="006C1DF8" w:rsidRPr="00B46FD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1)  </w:t>
      </w:r>
      <w:r w:rsidR="005920D3" w:rsidRPr="00B46FD8">
        <w:rPr>
          <w:rFonts w:ascii="Times New Roman" w:hAnsi="Times New Roman" w:cs="Times New Roman"/>
          <w:color w:val="000000"/>
          <w:sz w:val="20"/>
          <w:szCs w:val="20"/>
          <w:lang w:val="be-BY" w:eastAsia="x-none"/>
        </w:rPr>
        <w:t xml:space="preserve">агляд цела і экспертызы, якія не звязаныя з цялеснымі пашкоджаннямі, зняцце адбіткаў пальцаў, фатаграфаванне і прад'яўленне іх іншым асобам (арт. 74 § 2 пункт </w:t>
      </w:r>
      <w:r w:rsidRPr="00B46FD8">
        <w:rPr>
          <w:rFonts w:ascii="Times New Roman" w:eastAsia="Times New Roman" w:hAnsi="Times New Roman" w:cs="Times New Roman"/>
          <w:color w:val="000000"/>
          <w:sz w:val="20"/>
          <w:szCs w:val="20"/>
          <w:lang w:val="be-BY" w:eastAsia="x-none"/>
        </w:rPr>
        <w:t>1);</w:t>
      </w:r>
    </w:p>
    <w:p w14:paraId="7636591B" w14:textId="00BA558A" w:rsidR="006C1DF8" w:rsidRPr="00B46FD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2)  </w:t>
      </w:r>
      <w:r w:rsidR="006D14E4" w:rsidRPr="00B46FD8">
        <w:rPr>
          <w:rFonts w:ascii="Times New Roman" w:eastAsia="Times New Roman" w:hAnsi="Times New Roman" w:cs="Times New Roman"/>
          <w:color w:val="000000"/>
          <w:sz w:val="20"/>
          <w:szCs w:val="20"/>
          <w:lang w:val="be-BY" w:eastAsia="x-none"/>
        </w:rPr>
        <w:t>псіхалагічныя і псіхіятрычныя агляды, а таксама агляды, якія ўключаюць цялесныя працэдуры, за выключэннем хірургічных працэдур, пры ўмове, што гэта не ўяўляе рызыкі для здароўя, калі правядзенне гэтых аглядаў неабходна (у прыватнасці, узяцце крыві, валасоў або біялагічных вылучэнняў, напрыклад, сліны); агляды павінны праводзіцца медыцынскім работнікам, упаўнаважаным на гэта (арт. 74 § 2 пункт</w:t>
      </w:r>
      <w:r w:rsidR="00B46FD8">
        <w:rPr>
          <w:rFonts w:ascii="Times New Roman" w:eastAsia="Times New Roman" w:hAnsi="Times New Roman" w:cs="Times New Roman"/>
          <w:color w:val="000000"/>
          <w:sz w:val="20"/>
          <w:szCs w:val="20"/>
          <w:lang w:eastAsia="x-none"/>
        </w:rPr>
        <w:t> </w:t>
      </w:r>
      <w:r w:rsidRPr="00B46FD8">
        <w:rPr>
          <w:rFonts w:ascii="Times New Roman" w:eastAsia="Times New Roman" w:hAnsi="Times New Roman" w:cs="Times New Roman"/>
          <w:color w:val="000000"/>
          <w:sz w:val="20"/>
          <w:szCs w:val="20"/>
          <w:lang w:val="be-BY" w:eastAsia="x-none"/>
        </w:rPr>
        <w:t>2);</w:t>
      </w:r>
    </w:p>
    <w:p w14:paraId="1E054B36" w14:textId="6A64741A" w:rsidR="006C1DF8" w:rsidRPr="00B46FD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3)  </w:t>
      </w:r>
      <w:r w:rsidR="006D14E4" w:rsidRPr="00B46FD8">
        <w:rPr>
          <w:rFonts w:ascii="Times New Roman" w:eastAsia="Times New Roman" w:hAnsi="Times New Roman" w:cs="Times New Roman"/>
          <w:color w:val="000000"/>
          <w:sz w:val="20"/>
          <w:szCs w:val="20"/>
          <w:lang w:val="be-BY" w:eastAsia="x-none"/>
        </w:rPr>
        <w:t xml:space="preserve">узяцце мазка са слізістай абалонкі шчок супрацоўнікам паліцыі, калі гэта неабходна і не ўяўляе рызыкі для здароўя (арт. 74 § 2 пункт </w:t>
      </w:r>
      <w:r w:rsidRPr="00B46FD8">
        <w:rPr>
          <w:rFonts w:ascii="Times New Roman" w:eastAsia="Times New Roman" w:hAnsi="Times New Roman" w:cs="Times New Roman"/>
          <w:color w:val="000000"/>
          <w:sz w:val="20"/>
          <w:szCs w:val="20"/>
          <w:lang w:val="be-BY" w:eastAsia="x-none"/>
        </w:rPr>
        <w:t>3).</w:t>
      </w:r>
    </w:p>
    <w:p w14:paraId="4C230765" w14:textId="77777777" w:rsidR="006C1DF8" w:rsidRPr="00B46FD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p>
    <w:p w14:paraId="76DF910B" w14:textId="153FF4F6" w:rsidR="006C1DF8" w:rsidRPr="00B46FD8" w:rsidRDefault="006D14E4"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Невыкананне гэтых абавязацельстваў можа прывесці да арышту і прымусовага дастаўкі абвінавачанага, а таксама да ўжывання фізічнай сілы або тэхнічных сродкаў яго пераадолення ў неабходнай ступені (артыкул 74 § 3a</w:t>
      </w:r>
      <w:r w:rsidR="006C1DF8" w:rsidRPr="00B46FD8">
        <w:rPr>
          <w:rFonts w:ascii="Times New Roman" w:eastAsia="Times New Roman" w:hAnsi="Times New Roman" w:cs="Times New Roman"/>
          <w:color w:val="000000"/>
          <w:sz w:val="20"/>
          <w:szCs w:val="20"/>
          <w:lang w:val="be-BY" w:eastAsia="x-none"/>
        </w:rPr>
        <w:t>).</w:t>
      </w:r>
    </w:p>
    <w:p w14:paraId="2DCBE6D8" w14:textId="227D3AFD" w:rsidR="006C1DF8" w:rsidRPr="00B46FD8" w:rsidRDefault="006D14E4"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be-BY" w:eastAsia="x-none"/>
        </w:rPr>
      </w:pPr>
      <w:r w:rsidRPr="00B46FD8">
        <w:rPr>
          <w:rFonts w:ascii="Times New Roman" w:hAnsi="Times New Roman" w:cs="Times New Roman"/>
          <w:b/>
          <w:bCs/>
          <w:color w:val="000000"/>
          <w:sz w:val="20"/>
          <w:szCs w:val="20"/>
          <w:lang w:val="be-BY" w:eastAsia="x-none"/>
        </w:rPr>
        <w:t>Абвінавачаны таксама абавязаны</w:t>
      </w:r>
      <w:r w:rsidR="006C1DF8" w:rsidRPr="00B46FD8">
        <w:rPr>
          <w:rFonts w:ascii="Times New Roman" w:eastAsia="Times New Roman" w:hAnsi="Times New Roman" w:cs="Times New Roman"/>
          <w:b/>
          <w:bCs/>
          <w:color w:val="000000"/>
          <w:sz w:val="20"/>
          <w:szCs w:val="20"/>
          <w:lang w:val="be-BY" w:eastAsia="x-none"/>
        </w:rPr>
        <w:t>:</w:t>
      </w:r>
    </w:p>
    <w:p w14:paraId="0263CAF5" w14:textId="6C85991D" w:rsidR="006C1DF8" w:rsidRPr="00B46FD8" w:rsidRDefault="006D14E4"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з'яўляцца па кожнай позве і паведамляць суду аб любой змене месца жыхарства або знаходжання, якая доўжыцца больш за 7 дзён, у тым ліку з-за пазбаўлення волі па іншай справе; у выпадку неявкі абвінавачаны можа быць затрыманы і дастаўлены прымусова (арт. 75</w:t>
      </w:r>
      <w:r w:rsidR="006C1DF8" w:rsidRPr="00B46FD8">
        <w:rPr>
          <w:rFonts w:ascii="Times New Roman" w:eastAsia="Times New Roman" w:hAnsi="Times New Roman" w:cs="Times New Roman"/>
          <w:color w:val="000000"/>
          <w:sz w:val="20"/>
          <w:szCs w:val="20"/>
          <w:lang w:val="be-BY" w:eastAsia="x-none"/>
        </w:rPr>
        <w:t xml:space="preserve"> § 1 i § 2);</w:t>
      </w:r>
    </w:p>
    <w:p w14:paraId="496DCE5A" w14:textId="734F5F04" w:rsidR="006C1DF8" w:rsidRPr="00B46FD8" w:rsidRDefault="006D14E4"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пазначыць адрас, на які будзе адпраўляцца карэспандэнцыя, які можа ўключаць паштовую скрыню (арт. 132 § 1 і § 2); у адваротным выпадку дзеянне або слуханне будуць праводзіцца ў адсутнасць абвінавачанага; непазначэнне адраса таксама можа перашкодзіць падачы хадайніцтва, скаргі або апеляцыі з-за заканчэння тэрмінаў (арт. 133</w:t>
      </w:r>
      <w:r w:rsidR="006C1DF8" w:rsidRPr="00B46FD8">
        <w:rPr>
          <w:rFonts w:ascii="Times New Roman" w:eastAsia="Times New Roman" w:hAnsi="Times New Roman" w:cs="Times New Roman"/>
          <w:color w:val="000000"/>
          <w:sz w:val="20"/>
          <w:szCs w:val="20"/>
          <w:lang w:val="be-BY" w:eastAsia="x-none"/>
        </w:rPr>
        <w:t>§ 2);</w:t>
      </w:r>
    </w:p>
    <w:p w14:paraId="14923921" w14:textId="7F8C062A" w:rsidR="006C1DF8" w:rsidRPr="00B46FD8" w:rsidRDefault="006D14E4"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пазначыць адрасата для ўручэння ў краіне або ў іншай дзяржаве-члене Еўрапейскага Саюза, калі ён ці яна не знаходзіцца ў краіне або ў іншай дзяржаве-члене Еўрапейскага Саюза; у адваротным выпадку дакумент, адпраўлены на апошні вядомы адрас у краіне або ў іншай дзяржаве-члене Еўрапейскага Саюза, будзе лічыцца належным чынам уручаным, і дзеянне або слуханне будуць праведзены ў адсутнасць абвінавачанага; непазначэнне адраса таксама можа перашкодзіць падачы хадайніцтва, скаргі або апеляцыі з-за заканчэння тэрмінаў (арт. 138</w:t>
      </w:r>
      <w:r w:rsidR="006C1DF8" w:rsidRPr="00B46FD8">
        <w:rPr>
          <w:rFonts w:ascii="Times New Roman" w:eastAsia="Times New Roman" w:hAnsi="Times New Roman" w:cs="Times New Roman"/>
          <w:color w:val="000000"/>
          <w:sz w:val="20"/>
          <w:szCs w:val="20"/>
          <w:lang w:val="be-BY" w:eastAsia="x-none"/>
        </w:rPr>
        <w:t>);</w:t>
      </w:r>
    </w:p>
    <w:p w14:paraId="48A656B8" w14:textId="4D0C8858" w:rsidR="006C1DF8" w:rsidRPr="00B46FD8" w:rsidRDefault="006D14E4"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hAnsi="Times New Roman" w:cs="Times New Roman"/>
          <w:color w:val="000000"/>
          <w:sz w:val="20"/>
          <w:szCs w:val="20"/>
          <w:lang w:val="be-BY" w:eastAsia="x-none"/>
        </w:rPr>
      </w:pPr>
      <w:r w:rsidRPr="00B46FD8">
        <w:rPr>
          <w:rFonts w:ascii="Times New Roman" w:eastAsia="Times New Roman" w:hAnsi="Times New Roman" w:cs="Times New Roman"/>
          <w:color w:val="000000"/>
          <w:sz w:val="20"/>
          <w:szCs w:val="20"/>
          <w:lang w:val="be-BY" w:eastAsia="x-none"/>
        </w:rPr>
        <w:t>падаць новы адрас у выпадку змены месца жыхарства або месца знаходжання, у тым ліку ў сувязі з пазбаўленнем волі па іншай справе; у адваротным выпадку дакумент, адпраўлены на папярэдні адрас, будзе лічыцца належным чынам уручаным, і дзеянне або слуханне будуць праведзены ў адсутнасць абвінавачанага; непаданне адраса таксама можа перашкодзіць падачы хадайніцтва, скаргі або апеляцыйнай скаргі з-за заканчэння тэрмінаў; гэта таксама датычыцца абвінавачанага, які падаў запыт на ўручэнне па ўказаным адрасе паштовай скрыні і не паведаміў органу ўлады аб змене гэтага адраса або спыненні яго выкарыстання (арт. 139</w:t>
      </w:r>
      <w:r w:rsidR="006C1DF8" w:rsidRPr="00B46FD8">
        <w:rPr>
          <w:rFonts w:ascii="Times New Roman" w:hAnsi="Times New Roman" w:cs="Times New Roman"/>
          <w:color w:val="000000"/>
          <w:sz w:val="20"/>
          <w:szCs w:val="20"/>
          <w:lang w:val="be-BY" w:eastAsia="x-none"/>
        </w:rPr>
        <w:t>).</w:t>
      </w:r>
    </w:p>
    <w:p w14:paraId="30599F5F" w14:textId="1EF186B1" w:rsidR="006C1DF8" w:rsidRPr="00B46FD8" w:rsidRDefault="006D14E4" w:rsidP="00AB4615">
      <w:pPr>
        <w:tabs>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Абвяшчэнне пастановы аб прызначэнні даты слухання мае наступствы выкліку прысутных удзельнікаў працэсу для ўдзелу ў слуханні або паведамлення ім аб яго даце (арт. 349</w:t>
      </w:r>
      <w:r w:rsidR="006C1DF8" w:rsidRPr="00B46FD8">
        <w:rPr>
          <w:rFonts w:ascii="Times New Roman" w:hAnsi="Times New Roman" w:cs="Times New Roman"/>
          <w:color w:val="000000"/>
          <w:sz w:val="20"/>
          <w:szCs w:val="20"/>
          <w:lang w:val="be-BY" w:eastAsia="x-none"/>
        </w:rPr>
        <w:t xml:space="preserve"> </w:t>
      </w:r>
      <w:r w:rsidR="006C1DF8" w:rsidRPr="00B46FD8">
        <w:rPr>
          <w:rFonts w:ascii="Times New Roman" w:eastAsia="Times New Roman" w:hAnsi="Times New Roman" w:cs="Times New Roman"/>
          <w:color w:val="000000"/>
          <w:sz w:val="20"/>
          <w:szCs w:val="20"/>
          <w:lang w:val="be-BY" w:eastAsia="x-none"/>
        </w:rPr>
        <w:t>§ 8).</w:t>
      </w:r>
    </w:p>
    <w:p w14:paraId="7943C0C5" w14:textId="77777777" w:rsidR="006C1DF8" w:rsidRPr="00B46FD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Verdana" w:hAnsi="Verdana" w:cs="Verdana"/>
          <w:color w:val="000000"/>
          <w:sz w:val="2"/>
          <w:szCs w:val="2"/>
          <w:lang w:val="be-BY" w:eastAsia="x-none"/>
        </w:rPr>
      </w:pPr>
    </w:p>
    <w:p w14:paraId="37474DC9" w14:textId="314D3796" w:rsidR="006C1DF8" w:rsidRPr="00B46FD8" w:rsidRDefault="006D14E4"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r w:rsidRPr="00B46FD8">
        <w:rPr>
          <w:rFonts w:ascii="Times New Roman" w:hAnsi="Times New Roman" w:cs="Times New Roman"/>
          <w:color w:val="000000"/>
          <w:sz w:val="20"/>
          <w:szCs w:val="20"/>
          <w:lang w:val="be-BY" w:eastAsia="x-none"/>
        </w:rPr>
        <w:t>Калі абвінавачанаму прад'яўлена абвінавачанне ў злачынстве, за якое або ў сувязі з якім прадугледжаны штраф, грашовая выгада, канфіскацыя, кампенсацыйная мера, вяртанне матэрыяльнай выгады, атрыманай злачынцам ад учыненага злачынства, пацярпеламу боку або іншай правамоцнай асобе, або яе эквівалент, забеспячэнне выканання гэтага рашэння можа быць устаноўлена па службовай пасадзе на маёмасць абвінавачанага або іншых асоб, указаных у законе, калі ёсць абгрунтаваная асцярога, што без такога забеспячэння выкананне рашэння будзе немагчымым або значна ўскладненым. Па тых жа прычынах забеспячэнне выканання рашэння па судовых выдатках можа быць устаноўлена таксама па службовай пасадзе на маёмасць абвінавачанага (арт. 291</w:t>
      </w:r>
      <w:r w:rsidR="006C1DF8" w:rsidRPr="00B46FD8">
        <w:rPr>
          <w:rFonts w:ascii="Times New Roman" w:eastAsia="Times New Roman" w:hAnsi="Times New Roman" w:cs="Times New Roman"/>
          <w:color w:val="000000"/>
          <w:sz w:val="20"/>
          <w:szCs w:val="20"/>
          <w:lang w:val="be-BY" w:eastAsia="x-none"/>
        </w:rPr>
        <w:t xml:space="preserve"> § 1-3).</w:t>
      </w:r>
    </w:p>
    <w:p w14:paraId="457FFA8D" w14:textId="77777777" w:rsidR="006C1DF8" w:rsidRPr="00B46FD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p>
    <w:p w14:paraId="59BBC797" w14:textId="77777777" w:rsidR="006C1DF8" w:rsidRPr="00B46FD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be-BY" w:eastAsia="x-none"/>
        </w:rPr>
      </w:pPr>
    </w:p>
    <w:p w14:paraId="5B27A055" w14:textId="77777777" w:rsidR="006C1DF8" w:rsidRPr="00B46FD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be-BY" w:eastAsia="x-none"/>
        </w:rPr>
      </w:pPr>
    </w:p>
    <w:p w14:paraId="1A3EB43F" w14:textId="77777777" w:rsidR="006C1DF8" w:rsidRPr="00B46FD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be-BY" w:eastAsia="x-none"/>
        </w:rPr>
      </w:pPr>
    </w:p>
    <w:p w14:paraId="7295A6C8" w14:textId="77777777" w:rsidR="006C1DF8" w:rsidRPr="00B46FD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be-BY" w:eastAsia="x-none"/>
        </w:rPr>
      </w:pPr>
    </w:p>
    <w:p w14:paraId="722C34F3" w14:textId="3098435F" w:rsidR="006C1DF8" w:rsidRPr="00B46FD8" w:rsidRDefault="006D14E4"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eastAsia="Times New Roman" w:hAnsi="Times New Roman" w:cs="Times New Roman"/>
          <w:sz w:val="16"/>
          <w:szCs w:val="16"/>
          <w:lang w:val="be-BY" w:eastAsia="x-none"/>
        </w:rPr>
      </w:pPr>
      <w:r w:rsidRPr="00B46FD8">
        <w:rPr>
          <w:rFonts w:ascii="Times New Roman" w:hAnsi="Times New Roman" w:cs="Times New Roman"/>
          <w:sz w:val="16"/>
          <w:szCs w:val="16"/>
          <w:lang w:val="be-BY" w:eastAsia="x-none"/>
        </w:rPr>
        <w:t>трэба выбраць правільную фразу</w:t>
      </w:r>
      <w:r w:rsidR="006C1DF8" w:rsidRPr="00B46FD8">
        <w:rPr>
          <w:rFonts w:ascii="Times New Roman" w:eastAsia="Times New Roman" w:hAnsi="Times New Roman" w:cs="Times New Roman"/>
          <w:sz w:val="16"/>
          <w:szCs w:val="16"/>
          <w:lang w:val="be-BY" w:eastAsia="x-none"/>
        </w:rPr>
        <w:t>;</w:t>
      </w:r>
    </w:p>
    <w:p w14:paraId="24F83681" w14:textId="148B67C9" w:rsidR="006C1DF8" w:rsidRPr="00B46FD8" w:rsidRDefault="006D14E4"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hAnsi="Times New Roman" w:cs="Times New Roman"/>
          <w:sz w:val="16"/>
          <w:szCs w:val="16"/>
          <w:lang w:val="be-BY" w:eastAsia="x-none"/>
        </w:rPr>
      </w:pPr>
      <w:r w:rsidRPr="00B46FD8">
        <w:rPr>
          <w:rFonts w:ascii="Times New Roman" w:eastAsia="Times New Roman" w:hAnsi="Times New Roman" w:cs="Times New Roman"/>
          <w:sz w:val="16"/>
          <w:szCs w:val="16"/>
          <w:lang w:val="be-BY" w:eastAsia="x-none"/>
        </w:rPr>
        <w:t>калі не пазначана іншая прававая падстава, палажэнні ў дужках адносяцца да адпаведных артыкулаў Закона ад 6 чэрвеня 1997 г. — Крымінальна-працэсуальнага кодэкса (Заканадаўчы Веснік за 2018 г., паз. 1987 г., са зменамі</w:t>
      </w:r>
      <w:r w:rsidR="006C1DF8" w:rsidRPr="00B46FD8">
        <w:rPr>
          <w:rFonts w:ascii="Times New Roman" w:eastAsia="Times New Roman" w:hAnsi="Times New Roman" w:cs="Times New Roman"/>
          <w:sz w:val="16"/>
          <w:szCs w:val="16"/>
          <w:lang w:val="be-BY" w:eastAsia="x-none"/>
        </w:rPr>
        <w:t>.).</w:t>
      </w:r>
    </w:p>
    <w:p w14:paraId="614FBFD0" w14:textId="77777777" w:rsidR="006C1DF8" w:rsidRPr="00B46FD8" w:rsidRDefault="006C1DF8" w:rsidP="00AB461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autoSpaceDE w:val="0"/>
        <w:autoSpaceDN w:val="0"/>
        <w:adjustRightInd w:val="0"/>
        <w:spacing w:after="0" w:line="240" w:lineRule="auto"/>
        <w:jc w:val="both"/>
        <w:rPr>
          <w:rFonts w:ascii="Times New Roman" w:hAnsi="Times New Roman" w:cs="Times New Roman"/>
          <w:b/>
          <w:bCs/>
          <w:i/>
          <w:iCs/>
          <w:color w:val="000000"/>
          <w:sz w:val="16"/>
          <w:szCs w:val="16"/>
          <w:lang w:val="be-BY" w:eastAsia="x-none"/>
        </w:rPr>
      </w:pPr>
    </w:p>
    <w:p w14:paraId="4B7E7D4E" w14:textId="77777777" w:rsidR="006C1DF8" w:rsidRPr="00B46FD8" w:rsidRDefault="006C1DF8" w:rsidP="00AB4615">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color w:val="000000"/>
          <w:sz w:val="16"/>
          <w:szCs w:val="16"/>
          <w:lang w:val="be-BY" w:eastAsia="x-none"/>
        </w:rPr>
      </w:pPr>
    </w:p>
    <w:p w14:paraId="195DF4DC" w14:textId="4E9A0502" w:rsidR="00B376B7" w:rsidRPr="00B46FD8" w:rsidRDefault="006C1DF8" w:rsidP="00AB4615">
      <w:pPr>
        <w:pStyle w:val="Normal"/>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jc w:val="both"/>
        <w:rPr>
          <w:rFonts w:ascii="Times New Roman" w:hAnsi="Times New Roman" w:cs="Times New Roman"/>
          <w:lang w:val="be-BY" w:eastAsia="x-none"/>
        </w:rPr>
      </w:pPr>
      <w:r w:rsidRPr="00B46FD8">
        <w:rPr>
          <w:rFonts w:ascii="Times New Roman" w:hAnsi="Times New Roman" w:cs="Times New Roman"/>
          <w:color w:val="000000"/>
          <w:lang w:val="be-BY" w:eastAsia="x-none"/>
        </w:rPr>
        <w:fldChar w:fldCharType="begin"/>
      </w:r>
      <w:r w:rsidRPr="00B46FD8">
        <w:rPr>
          <w:rFonts w:ascii="Times New Roman" w:hAnsi="Times New Roman" w:cs="Times New Roman"/>
          <w:color w:val="000000"/>
          <w:lang w:val="be-BY" w:eastAsia="x-none"/>
        </w:rPr>
        <w:instrText xml:space="preserve"> {KONIEC} </w:instrText>
      </w:r>
      <w:r w:rsidRPr="00B46FD8">
        <w:rPr>
          <w:rFonts w:ascii="Times New Roman" w:hAnsi="Times New Roman" w:cs="Times New Roman"/>
          <w:color w:val="000000"/>
          <w:lang w:val="be-BY" w:eastAsia="x-none"/>
        </w:rPr>
        <w:fldChar w:fldCharType="separate"/>
      </w:r>
      <w:r w:rsidRPr="00B46FD8">
        <w:rPr>
          <w:rFonts w:ascii="Times New Roman" w:hAnsi="Times New Roman" w:cs="Times New Roman"/>
          <w:color w:val="000000"/>
          <w:lang w:val="be-BY" w:eastAsia="x-none"/>
        </w:rPr>
        <w:t xml:space="preserve"> </w:t>
      </w:r>
      <w:r w:rsidRPr="00B46FD8">
        <w:rPr>
          <w:rFonts w:ascii="Times New Roman" w:hAnsi="Times New Roman" w:cs="Times New Roman"/>
          <w:color w:val="000000"/>
          <w:lang w:val="be-BY" w:eastAsia="x-none"/>
        </w:rPr>
        <w:fldChar w:fldCharType="end"/>
      </w:r>
    </w:p>
    <w:sectPr w:rsidR="00B376B7" w:rsidRPr="00B46F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0630" w14:textId="77777777" w:rsidR="00437C2A" w:rsidRDefault="00437C2A" w:rsidP="00437C2A">
      <w:pPr>
        <w:spacing w:after="0" w:line="240" w:lineRule="auto"/>
      </w:pPr>
      <w:r>
        <w:separator/>
      </w:r>
    </w:p>
  </w:endnote>
  <w:endnote w:type="continuationSeparator" w:id="0">
    <w:p w14:paraId="476F55F3" w14:textId="77777777" w:rsidR="00437C2A" w:rsidRDefault="00437C2A" w:rsidP="00437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9B2A6" w14:textId="77777777" w:rsidR="00437C2A" w:rsidRDefault="00437C2A" w:rsidP="00437C2A">
      <w:pPr>
        <w:spacing w:after="0" w:line="240" w:lineRule="auto"/>
      </w:pPr>
      <w:r>
        <w:separator/>
      </w:r>
    </w:p>
  </w:footnote>
  <w:footnote w:type="continuationSeparator" w:id="0">
    <w:p w14:paraId="366770CC" w14:textId="77777777" w:rsidR="00437C2A" w:rsidRDefault="00437C2A" w:rsidP="00437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abstractNum>
  <w:abstractNum w:abstractNumId="1" w15:restartNumberingAfterBreak="0">
    <w:nsid w:val="00000002"/>
    <w:multiLevelType w:val="multilevel"/>
    <w:tmpl w:val="00000002"/>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2" w15:restartNumberingAfterBreak="0">
    <w:nsid w:val="00000003"/>
    <w:multiLevelType w:val="multilevel"/>
    <w:tmpl w:val="00000003"/>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1464426251">
    <w:abstractNumId w:val="0"/>
  </w:num>
  <w:num w:numId="2" w16cid:durableId="1920670663">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3" w16cid:durableId="2090730129">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4" w16cid:durableId="1103259934">
    <w:abstractNumId w:val="1"/>
  </w:num>
  <w:num w:numId="5" w16cid:durableId="751051791">
    <w:abstractNumId w:val="2"/>
  </w:num>
  <w:num w:numId="6" w16cid:durableId="55204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16E0"/>
    <w:rsid w:val="00186955"/>
    <w:rsid w:val="00437C2A"/>
    <w:rsid w:val="0051429F"/>
    <w:rsid w:val="00541687"/>
    <w:rsid w:val="00584D6E"/>
    <w:rsid w:val="005920D3"/>
    <w:rsid w:val="005F212A"/>
    <w:rsid w:val="006C1DF8"/>
    <w:rsid w:val="006D14E4"/>
    <w:rsid w:val="00842077"/>
    <w:rsid w:val="008616E0"/>
    <w:rsid w:val="00AB4615"/>
    <w:rsid w:val="00AE7B8C"/>
    <w:rsid w:val="00B129EE"/>
    <w:rsid w:val="00B376B7"/>
    <w:rsid w:val="00B46FD8"/>
    <w:rsid w:val="00CE4A7A"/>
    <w:rsid w:val="00DF1B92"/>
    <w:rsid w:val="00F52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195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541687"/>
    <w:pPr>
      <w:widowControl w:val="0"/>
      <w:autoSpaceDE w:val="0"/>
      <w:autoSpaceDN w:val="0"/>
      <w:adjustRightInd w:val="0"/>
      <w:spacing w:after="0" w:line="240" w:lineRule="auto"/>
    </w:pPr>
    <w:rPr>
      <w:rFonts w:ascii="Arial" w:hAnsi="Arial" w:cs="Arial"/>
      <w:sz w:val="24"/>
      <w:szCs w:val="24"/>
      <w:lang w:eastAsia="pl-PL"/>
    </w:rPr>
  </w:style>
  <w:style w:type="paragraph" w:customStyle="1" w:styleId="BODY">
    <w:name w:val="BODY"/>
    <w:basedOn w:val="Normal"/>
    <w:uiPriority w:val="99"/>
    <w:rsid w:val="00541687"/>
    <w:pPr>
      <w:spacing w:before="134" w:after="134"/>
    </w:pPr>
    <w:rPr>
      <w:lang w:val="x-none" w:eastAsia="x-none"/>
    </w:rPr>
  </w:style>
  <w:style w:type="character" w:customStyle="1" w:styleId="s17">
    <w:name w:val="s17"/>
    <w:basedOn w:val="Domylnaczcionkaakapitu"/>
    <w:uiPriority w:val="99"/>
    <w:rsid w:val="006C1DF8"/>
    <w:rPr>
      <w:strike/>
      <w:lang w:eastAsia="x-none"/>
    </w:rPr>
  </w:style>
  <w:style w:type="character" w:customStyle="1" w:styleId="txt-new1">
    <w:name w:val="txt-new1"/>
    <w:basedOn w:val="Domylnaczcionkaakapitu"/>
    <w:uiPriority w:val="99"/>
    <w:rsid w:val="006C1DF8"/>
    <w:rPr>
      <w:lang w:eastAsia="x-none"/>
    </w:rPr>
  </w:style>
  <w:style w:type="character" w:customStyle="1" w:styleId="tabulatory1">
    <w:name w:val="tabulatory1"/>
    <w:basedOn w:val="Domylnaczcionkaakapitu"/>
    <w:uiPriority w:val="99"/>
    <w:rsid w:val="006C1DF8"/>
    <w:rPr>
      <w:lang w:eastAsia="x-none"/>
    </w:rPr>
  </w:style>
  <w:style w:type="character" w:customStyle="1" w:styleId="txt-new2">
    <w:name w:val="txt-new2"/>
    <w:basedOn w:val="Domylnaczcionkaakapitu"/>
    <w:uiPriority w:val="99"/>
    <w:rsid w:val="006C1DF8"/>
    <w:rPr>
      <w:lang w:eastAsia="x-none"/>
    </w:rPr>
  </w:style>
  <w:style w:type="character" w:customStyle="1" w:styleId="txt-new3">
    <w:name w:val="txt-new3"/>
    <w:basedOn w:val="Domylnaczcionkaakapitu"/>
    <w:uiPriority w:val="99"/>
    <w:rsid w:val="006C1DF8"/>
    <w:rPr>
      <w:lang w:eastAsia="x-none"/>
    </w:rPr>
  </w:style>
  <w:style w:type="character" w:customStyle="1" w:styleId="txt-new4">
    <w:name w:val="txt-new4"/>
    <w:basedOn w:val="Domylnaczcionkaakapitu"/>
    <w:uiPriority w:val="99"/>
    <w:rsid w:val="006C1DF8"/>
    <w:rPr>
      <w:lang w:eastAsia="x-none"/>
    </w:rPr>
  </w:style>
  <w:style w:type="character" w:customStyle="1" w:styleId="txt-new6">
    <w:name w:val="txt-new6"/>
    <w:basedOn w:val="Domylnaczcionkaakapitu"/>
    <w:uiPriority w:val="99"/>
    <w:rsid w:val="006C1DF8"/>
    <w:rPr>
      <w:lang w:eastAsia="x-none"/>
    </w:rPr>
  </w:style>
  <w:style w:type="character" w:customStyle="1" w:styleId="FontStyle15">
    <w:name w:val="Font Style15"/>
    <w:basedOn w:val="Domylnaczcionkaakapitu"/>
    <w:uiPriority w:val="99"/>
    <w:rsid w:val="006C1DF8"/>
    <w:rPr>
      <w:rFonts w:cs="Franklin Gothic Medium"/>
      <w:b/>
      <w:bCs/>
      <w:sz w:val="12"/>
      <w:szCs w:val="12"/>
      <w:lang w:eastAsia="x-none"/>
    </w:rPr>
  </w:style>
  <w:style w:type="paragraph" w:styleId="Nagwek">
    <w:name w:val="header"/>
    <w:basedOn w:val="Normalny"/>
    <w:link w:val="NagwekZnak"/>
    <w:uiPriority w:val="99"/>
    <w:unhideWhenUsed/>
    <w:rsid w:val="00437C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7C2A"/>
  </w:style>
  <w:style w:type="paragraph" w:styleId="Stopka">
    <w:name w:val="footer"/>
    <w:basedOn w:val="Normalny"/>
    <w:link w:val="StopkaZnak"/>
    <w:uiPriority w:val="99"/>
    <w:unhideWhenUsed/>
    <w:rsid w:val="00437C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1951</Words>
  <Characters>11920</Characters>
  <Application>Microsoft Office Word</Application>
  <DocSecurity>0</DocSecurity>
  <Lines>168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2026-03-19T13:31:00Z</dcterms:created>
  <dcterms:modified xsi:type="dcterms:W3CDTF">2026-03-19T13:32:00Z</dcterms:modified>
</cp:coreProperties>
</file>